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РОССИЙСКАЯ ФЕДЕРАЦИЯ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 ФЕДЕРАЛЬНЫЙ ЗАКОН от 07.02.2011 N 6-ФЗ</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t>Принят</w:t>
      </w:r>
      <w:proofErr w:type="gramEnd"/>
      <w:r w:rsidRPr="00237660">
        <w:rPr>
          <w:rFonts w:ascii="Times New Roman" w:hAnsi="Times New Roman" w:cs="Times New Roman"/>
          <w:sz w:val="28"/>
          <w:szCs w:val="28"/>
        </w:rPr>
        <w:t xml:space="preserve"> Государственной Думой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28 января 2011 года</w:t>
      </w:r>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t>Одобрен</w:t>
      </w:r>
      <w:proofErr w:type="gramEnd"/>
      <w:r w:rsidRPr="00237660">
        <w:rPr>
          <w:rFonts w:ascii="Times New Roman" w:hAnsi="Times New Roman" w:cs="Times New Roman"/>
          <w:sz w:val="28"/>
          <w:szCs w:val="28"/>
        </w:rPr>
        <w:t xml:space="preserve"> Советом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02 февраля 2011 года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 Цель настоящего Федерального закона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2. Правовое регулирование организации и деятельности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Правовое регулирование организации и деятельности контрольно-счетных органов субъектов Российской Федерации основывается на Конституции Российской Федерации и осуществляется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w:t>
      </w:r>
      <w:proofErr w:type="gramEnd"/>
      <w:r w:rsidRPr="00237660">
        <w:rPr>
          <w:rFonts w:ascii="Times New Roman" w:hAnsi="Times New Roman" w:cs="Times New Roman"/>
          <w:sz w:val="28"/>
          <w:szCs w:val="28"/>
        </w:rPr>
        <w:t xml:space="preserve"> и иными нормативными правовыми актами субъектов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2. </w:t>
      </w:r>
      <w:proofErr w:type="gramStart"/>
      <w:r w:rsidRPr="00237660">
        <w:rPr>
          <w:rFonts w:ascii="Times New Roman" w:hAnsi="Times New Roman" w:cs="Times New Roman"/>
          <w:sz w:val="28"/>
          <w:szCs w:val="28"/>
        </w:rPr>
        <w:t xml:space="preserve">Правовое регулирование организации и деятельности контрольно-счетных органов муниципальных образований основывается на Конституции Российской Федерации и осуществляется Федеральным законом от 6 октября 2003 года N 131-ФЗ "Об общих принципах организации местного самоуправления в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w:t>
      </w:r>
      <w:r w:rsidRPr="00237660">
        <w:rPr>
          <w:rFonts w:ascii="Times New Roman" w:hAnsi="Times New Roman" w:cs="Times New Roman"/>
          <w:sz w:val="28"/>
          <w:szCs w:val="28"/>
        </w:rPr>
        <w:lastRenderedPageBreak/>
        <w:t>Российской Федерации, муниципальными нормативными правовыми актами.</w:t>
      </w:r>
      <w:proofErr w:type="gramEnd"/>
      <w:r w:rsidRPr="00237660">
        <w:rPr>
          <w:rFonts w:ascii="Times New Roman" w:hAnsi="Times New Roman" w:cs="Times New Roman"/>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кодексу Российской Федерации и настоящему Федеральному закону.</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3. Основы статуса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Контрольно-счетные органы обладают организационной и функциональной независимостью и осуществляют свою деятельность самостоятельно.</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6. Наименования, полномочия, состав и порядок деятельности контрольно-счетного органа субъекта Российской Федерации, контрольно-счетного органа муниципального образования устанавливаются соответственно </w:t>
      </w:r>
      <w:r w:rsidRPr="00237660">
        <w:rPr>
          <w:rFonts w:ascii="Times New Roman" w:hAnsi="Times New Roman" w:cs="Times New Roman"/>
          <w:sz w:val="28"/>
          <w:szCs w:val="28"/>
        </w:rPr>
        <w:lastRenderedPageBreak/>
        <w:t>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Контрольно-счетный орган субъекта Российской Федерации обладает правами юридического лица.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8. Контрольно-счетный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обладать правами юридического лица.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12. В порядке, определяемом законами субъектов Российской Федерации - городов федерального значения, представительные органы внутригородских муниципальных образований городов федерального значения вправе заключать соглашения с контрольно-счетными органами субъектов Российской Федерации - городов федерального значения о передаче им полномочий по осуществлению внешнего муниципального финансового контроля.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4. Принципы деятельности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Деятельность контрольно-счетных органов основывается на принципах законности, объективности, эффективности, независимости и гласности.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5. Состав и структура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может быть предусмотрена одна должность заместителя председателя контрольно-счетного органа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3. </w:t>
      </w:r>
      <w:proofErr w:type="gramStart"/>
      <w:r w:rsidRPr="00237660">
        <w:rPr>
          <w:rFonts w:ascii="Times New Roman" w:hAnsi="Times New Roman" w:cs="Times New Roman"/>
          <w:sz w:val="28"/>
          <w:szCs w:val="28"/>
        </w:rPr>
        <w:t>Должности председателя, заместителя председателя и аудиторов контрольно-счетного органа могут быть отнесены соответственно к государственным должностям субъекта Российской Федерации или муниципальным должностям в соответствии с законом субъекта Российской Федерации или нормативным правовым актом представительного органа муниципального образования в соответствии с законом субъекта Российской Федерации.</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Срок полномочий председателя, заместителя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7. Штатная численность контрольно-счетного органа субъекта Российской Федерации устанавливается правовым актом законодательного </w:t>
      </w:r>
      <w:r w:rsidRPr="00237660">
        <w:rPr>
          <w:rFonts w:ascii="Times New Roman" w:hAnsi="Times New Roman" w:cs="Times New Roman"/>
          <w:sz w:val="28"/>
          <w:szCs w:val="28"/>
        </w:rPr>
        <w:lastRenderedPageBreak/>
        <w:t>(представительного) органа государственной власти субъекта Российской Федерации в соответствии с законом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8. Штатная численность контрольно-счетного органа муниципального образования определяется нормативным правовым актом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 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6. Порядок назначения на должность председателя, заместителя председателя и аудиторов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Председатель, заместитель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председателем законодательного (представительного) органа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Предложения о кандидатурах на должности заместителя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Порядок рассмотрения кандидатур на должности председателя, заместителя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председателем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главой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w:t>
      </w:r>
      <w:r w:rsidRPr="00237660">
        <w:rPr>
          <w:rFonts w:ascii="Times New Roman" w:hAnsi="Times New Roman" w:cs="Times New Roman"/>
          <w:sz w:val="28"/>
          <w:szCs w:val="28"/>
        </w:rPr>
        <w:lastRenderedPageBreak/>
        <w:t>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7. Требования к кандидатурам на должности председателя, заместителя председателя и аудиторов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На должность председателя, заместителя председателя и аудиторов контрольно-счетного органа субъекта Российской Федерации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Законом субъекта Российской Федерации, нормативным правовым актом представительного органа муниципального образования для должностных лиц, указанных в частях 1 и 2 настоящей статьи, могут быть установлены дополнительные требования к образованию и опыту работы.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1) наличия у него неснятой или непогашенной судимости;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признания его недееспособным или ограниченно дееспособным решением суда, вступившим в законную силу;</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5. </w:t>
      </w:r>
      <w:proofErr w:type="gramStart"/>
      <w:r w:rsidRPr="00237660">
        <w:rPr>
          <w:rFonts w:ascii="Times New Roman" w:hAnsi="Times New Roman" w:cs="Times New Roman"/>
          <w:sz w:val="28"/>
          <w:szCs w:val="28"/>
        </w:rPr>
        <w:t>Граждане, замещающие государственные должности в контрольно-счетном органе субъекта Российской Федерации, не могут состоять в близком родстве или свойстве (родители, супруги, дети, братья, сестры, а также братья, сестры, родители и дети супругов)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руководителями органов исполнительной власти</w:t>
      </w:r>
      <w:proofErr w:type="gramEnd"/>
      <w:r w:rsidRPr="00237660">
        <w:rPr>
          <w:rFonts w:ascii="Times New Roman" w:hAnsi="Times New Roman" w:cs="Times New Roman"/>
          <w:sz w:val="28"/>
          <w:szCs w:val="28"/>
        </w:rPr>
        <w:t xml:space="preserve">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6. </w:t>
      </w:r>
      <w:proofErr w:type="gramStart"/>
      <w:r w:rsidRPr="00237660">
        <w:rPr>
          <w:rFonts w:ascii="Times New Roman" w:hAnsi="Times New Roman" w:cs="Times New Roman"/>
          <w:sz w:val="28"/>
          <w:szCs w:val="28"/>
        </w:rPr>
        <w:t>Граждане, замещающие муниципальные должности в контрольно-счетном органе муниципального образования, не могут состоять в близком родстве или свойстве (родители, супруги, дети, братья, сестры, а также братья, сестры, родители и дети супругов)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7. Председатели, заместители председателя и аудиторы контрольно-счетных органов не могут заниматься другой оплачиваемой деятельностью, кроме </w:t>
      </w:r>
      <w:r w:rsidRPr="00237660">
        <w:rPr>
          <w:rFonts w:ascii="Times New Roman" w:hAnsi="Times New Roman" w:cs="Times New Roman"/>
          <w:sz w:val="28"/>
          <w:szCs w:val="28"/>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8. </w:t>
      </w:r>
      <w:proofErr w:type="gramStart"/>
      <w:r w:rsidRPr="00237660">
        <w:rPr>
          <w:rFonts w:ascii="Times New Roman" w:hAnsi="Times New Roman" w:cs="Times New Roman"/>
          <w:sz w:val="28"/>
          <w:szCs w:val="28"/>
        </w:rPr>
        <w:t>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8. Гарантии статуса должностных лиц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2. </w:t>
      </w:r>
      <w:proofErr w:type="gramStart"/>
      <w:r w:rsidRPr="00237660">
        <w:rPr>
          <w:rFonts w:ascii="Times New Roman" w:hAnsi="Times New Roman" w:cs="Times New Roman"/>
          <w:sz w:val="28"/>
          <w:szCs w:val="28"/>
        </w:rPr>
        <w:t>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Должностные лица контрольно-счетных органов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Должностные лица контрольно-счетных органов обладают гарантиями профессиональной независимости.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5. Должностное лицо контрольно-счетного органа, замещающее государственную должность субъекта Российской Федерации или </w:t>
      </w:r>
      <w:r w:rsidRPr="00237660">
        <w:rPr>
          <w:rFonts w:ascii="Times New Roman" w:hAnsi="Times New Roman" w:cs="Times New Roman"/>
          <w:sz w:val="28"/>
          <w:szCs w:val="28"/>
        </w:rPr>
        <w:lastRenderedPageBreak/>
        <w:t>муниципальную должность, досрочно освобождается от должности на основании решения законодательного (представительного) органа в случае: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вступления в законную силу обвинительного приговора суда в отношении его;</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признания его недееспособным или ограниченно дееспособным вступившим в законную силу решением суда;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подачи письменного заявления об отставке;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5) нарушения требований законодательства Российской </w:t>
      </w:r>
      <w:proofErr w:type="gramStart"/>
      <w:r w:rsidRPr="00237660">
        <w:rPr>
          <w:rFonts w:ascii="Times New Roman" w:hAnsi="Times New Roman" w:cs="Times New Roman"/>
          <w:sz w:val="28"/>
          <w:szCs w:val="28"/>
        </w:rPr>
        <w:t>Федерации</w:t>
      </w:r>
      <w:proofErr w:type="gramEnd"/>
      <w:r w:rsidRPr="00237660">
        <w:rPr>
          <w:rFonts w:ascii="Times New Roman" w:hAnsi="Times New Roman" w:cs="Times New Roman"/>
          <w:sz w:val="28"/>
          <w:szCs w:val="28"/>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выявления обстоятельств, предусмотренных частями 4 - 6 статьи 7 настоящего Федерального закона.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9. Основные полномочия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Контрольно-счетный орган субъекта Российской Федерации осуществляет следующие основные полномочия: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контроль за</w:t>
      </w:r>
      <w:proofErr w:type="gramEnd"/>
      <w:r w:rsidRPr="00237660">
        <w:rPr>
          <w:rFonts w:ascii="Times New Roman" w:hAnsi="Times New Roman" w:cs="Times New Roman"/>
          <w:sz w:val="28"/>
          <w:szCs w:val="28"/>
        </w:rPr>
        <w:t xml:space="preserve"> исполнением бюджета субъекта Российской Федерации и бюджета территориального государственного внебюджетного фонда;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3) внешняя проверка годового отчета об исполнении бюджета субъекта Российской Федерации, годового отчета об исполнении бюджета территориального государственного внебюджетного фонда;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4) организация и осуществление </w:t>
      </w:r>
      <w:proofErr w:type="gramStart"/>
      <w:r w:rsidRPr="00237660">
        <w:rPr>
          <w:rFonts w:ascii="Times New Roman" w:hAnsi="Times New Roman" w:cs="Times New Roman"/>
          <w:sz w:val="28"/>
          <w:szCs w:val="28"/>
        </w:rPr>
        <w:t>контроля за</w:t>
      </w:r>
      <w:proofErr w:type="gramEnd"/>
      <w:r w:rsidRPr="00237660">
        <w:rPr>
          <w:rFonts w:ascii="Times New Roman" w:hAnsi="Times New Roman" w:cs="Times New Roman"/>
          <w:sz w:val="28"/>
          <w:szCs w:val="28"/>
        </w:rPr>
        <w:t xml:space="preserve"> законностью, результативностью (эффективностью и экономностью) использования средств бюджета субъекта Российской Федерации, средств бюджетов территориальных государственных внебюджетных фондов и иных источников, предусмотренных законодательством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5) </w:t>
      </w:r>
      <w:proofErr w:type="gramStart"/>
      <w:r w:rsidRPr="00237660">
        <w:rPr>
          <w:rFonts w:ascii="Times New Roman" w:hAnsi="Times New Roman" w:cs="Times New Roman"/>
          <w:sz w:val="28"/>
          <w:szCs w:val="28"/>
        </w:rPr>
        <w:t>контроль за</w:t>
      </w:r>
      <w:proofErr w:type="gramEnd"/>
      <w:r w:rsidRPr="00237660">
        <w:rPr>
          <w:rFonts w:ascii="Times New Roman" w:hAnsi="Times New Roman" w:cs="Times New Roman"/>
          <w:sz w:val="28"/>
          <w:szCs w:val="28"/>
        </w:rPr>
        <w:t xml:space="preserve"> соблюдением установленного порядка управления и распоряжения имуществом, находящимся в государственной собственности субъекта Российской Федерации, в том числе охраняемыми результатами интеллектуальной деятельности и средствами индивидуализации, принадлежащими субъекту Российской Федерации;</w:t>
      </w:r>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финансово-экономическая экспертиза проектов законов субъекта Российской Федерации и нормативных правовых актов органов государственной власти субъекта Российской Федерации (включая обоснованность финансово-экономических обоснований) в части, касающейся расходных обязательств субъекта Российской Федерации, а также государственных программ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8) анализ бюджетного процесса в субъекте Российской Федерации и подготовка предложений, направленных на его совершенствование;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9) </w:t>
      </w:r>
      <w:proofErr w:type="gramStart"/>
      <w:r w:rsidRPr="00237660">
        <w:rPr>
          <w:rFonts w:ascii="Times New Roman" w:hAnsi="Times New Roman" w:cs="Times New Roman"/>
          <w:sz w:val="28"/>
          <w:szCs w:val="28"/>
        </w:rPr>
        <w:t>контроль за</w:t>
      </w:r>
      <w:proofErr w:type="gramEnd"/>
      <w:r w:rsidRPr="00237660">
        <w:rPr>
          <w:rFonts w:ascii="Times New Roman" w:hAnsi="Times New Roman" w:cs="Times New Roman"/>
          <w:sz w:val="28"/>
          <w:szCs w:val="28"/>
        </w:rPr>
        <w:t xml:space="preserve"> законностью, результативностью (эффективностью и экономностью)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кодексом Российской Федерации;</w:t>
      </w:r>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lastRenderedPageBreak/>
        <w:t>10) подготовка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и представление такой информации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11) участие в пределах полномочий в мероприятиях, направленных на противодействие коррупции;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12)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Контрольно-счетный орган муниципального образования осуществляет следующие основные полномочия: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контроль за</w:t>
      </w:r>
      <w:proofErr w:type="gramEnd"/>
      <w:r w:rsidRPr="00237660">
        <w:rPr>
          <w:rFonts w:ascii="Times New Roman" w:hAnsi="Times New Roman" w:cs="Times New Roman"/>
          <w:sz w:val="28"/>
          <w:szCs w:val="28"/>
        </w:rPr>
        <w:t xml:space="preserve"> исполнением местного бюджета;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экспертиза проектов местного бюджета;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внешняя проверка годового отчета об исполнении местного бюджета;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4) организация и осуществление </w:t>
      </w:r>
      <w:proofErr w:type="gramStart"/>
      <w:r w:rsidRPr="00237660">
        <w:rPr>
          <w:rFonts w:ascii="Times New Roman" w:hAnsi="Times New Roman" w:cs="Times New Roman"/>
          <w:sz w:val="28"/>
          <w:szCs w:val="28"/>
        </w:rPr>
        <w:t>контроля за</w:t>
      </w:r>
      <w:proofErr w:type="gramEnd"/>
      <w:r w:rsidRPr="00237660">
        <w:rPr>
          <w:rFonts w:ascii="Times New Roman" w:hAnsi="Times New Roman" w:cs="Times New Roman"/>
          <w:sz w:val="28"/>
          <w:szCs w:val="28"/>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5) </w:t>
      </w:r>
      <w:proofErr w:type="gramStart"/>
      <w:r w:rsidRPr="00237660">
        <w:rPr>
          <w:rFonts w:ascii="Times New Roman" w:hAnsi="Times New Roman" w:cs="Times New Roman"/>
          <w:sz w:val="28"/>
          <w:szCs w:val="28"/>
        </w:rPr>
        <w:t>контроль за</w:t>
      </w:r>
      <w:proofErr w:type="gramEnd"/>
      <w:r w:rsidRPr="00237660">
        <w:rPr>
          <w:rFonts w:ascii="Times New Roman" w:hAnsi="Times New Roman" w:cs="Times New Roman"/>
          <w:sz w:val="28"/>
          <w:szCs w:val="28"/>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rsidRPr="00237660">
        <w:rPr>
          <w:rFonts w:ascii="Times New Roman" w:hAnsi="Times New Roman" w:cs="Times New Roman"/>
          <w:sz w:val="28"/>
          <w:szCs w:val="28"/>
        </w:rPr>
        <w:lastRenderedPageBreak/>
        <w:t>предпринимателями за счет средств местного бюджета и имущества, находящегося в муниципальной собственности;</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8) анализ бюджетного процесса в муниципальном образовании и подготовка предложений, направленных на его совершенствование;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10) участие в пределах полномочий в мероприятиях, направленных на противодействие коррупции;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3. Контрольно-счетный орган муниципального района, помимо полномочий, предусмотренных частью 2 настоящей статьи, осуществляет </w:t>
      </w:r>
      <w:proofErr w:type="gramStart"/>
      <w:r w:rsidRPr="00237660">
        <w:rPr>
          <w:rFonts w:ascii="Times New Roman" w:hAnsi="Times New Roman" w:cs="Times New Roman"/>
          <w:sz w:val="28"/>
          <w:szCs w:val="28"/>
        </w:rPr>
        <w:t>контроль за</w:t>
      </w:r>
      <w:proofErr w:type="gramEnd"/>
      <w:r w:rsidRPr="00237660">
        <w:rPr>
          <w:rFonts w:ascii="Times New Roman" w:hAnsi="Times New Roman" w:cs="Times New Roman"/>
          <w:sz w:val="28"/>
          <w:szCs w:val="28"/>
        </w:rPr>
        <w:t xml:space="preserve"> законностью, результативностью (эффективностью и экономностью) использования средств бюджета муниципального района, поступивших в бюджеты поселений, входящих в состав данного муниципального района.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Внешний государственный и муниципальный финансовый контроль осуществляется контрольно-счетными органами:</w:t>
      </w:r>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roofErr w:type="gramEnd"/>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lastRenderedPageBreak/>
        <w:t>2) в отношении иных организаций путем осуществления проверки соблюдения условий получения ими субсидий, кредитов, гарантий за счет средств соответствующего бюджета в порядке контроля за деятельностью главных распорядителей (распорядителей) и получателей средств бюджета субъекта Российской Федерации или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соответствующего</w:t>
      </w:r>
      <w:proofErr w:type="gramEnd"/>
      <w:r w:rsidRPr="00237660">
        <w:rPr>
          <w:rFonts w:ascii="Times New Roman" w:hAnsi="Times New Roman" w:cs="Times New Roman"/>
          <w:sz w:val="28"/>
          <w:szCs w:val="28"/>
        </w:rPr>
        <w:t xml:space="preserve"> бюджета.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10. Формы осуществления контрольно-счетными органами внешнего государственного и муниципального финансового контроля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При проведении экспертно-аналитического мероприятия контрольно-счетным органом составляются отчет или заключение.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11. Стандарты внешнего государственного и муниципального финансового контроля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Контрольно-счетные органы при осуществлении внешнего государственного и муниципального финансового контроля руководствуются Конституцией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и муниципальных учреждений и унитарных предприятий субъектов Российской Федерации или муниципальных образований - в соответствии с </w:t>
      </w:r>
      <w:r w:rsidRPr="00237660">
        <w:rPr>
          <w:rFonts w:ascii="Times New Roman" w:hAnsi="Times New Roman" w:cs="Times New Roman"/>
          <w:sz w:val="28"/>
          <w:szCs w:val="28"/>
        </w:rPr>
        <w:lastRenderedPageBreak/>
        <w:t>общими требованиями, утвержденными Счетной палатой Российской Федерации и (или) контрольно-счетным органом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в отношении иных организаций - в соответствии с общими требованиями, установленными федеральным законом.</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12. Планирование деятельности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Контрольно-счетные органы осуществляют свою деятельность на основе планов, которые разрабатываются и утверждаются ими самостоятельно.</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Порядок включения в планы деятельности контрольно-счетных органов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13. Обязательность исполнения требований должностных лиц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 xml:space="preserve">Требования и запросы должностных лиц контрольно-счетных органов, связанные с осуществлением ими своих должностных полномочий, </w:t>
      </w:r>
      <w:r w:rsidRPr="00237660">
        <w:rPr>
          <w:rFonts w:ascii="Times New Roman" w:hAnsi="Times New Roman" w:cs="Times New Roman"/>
          <w:sz w:val="28"/>
          <w:szCs w:val="28"/>
        </w:rPr>
        <w:lastRenderedPageBreak/>
        <w:t>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w:t>
      </w:r>
      <w:proofErr w:type="gramEnd"/>
      <w:r w:rsidRPr="00237660">
        <w:rPr>
          <w:rFonts w:ascii="Times New Roman" w:hAnsi="Times New Roman" w:cs="Times New Roman"/>
          <w:sz w:val="28"/>
          <w:szCs w:val="28"/>
        </w:rPr>
        <w:t xml:space="preserve"> контроль (далее также - проверяемые органы и организации).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14. Права, обязанности и ответственность должностных лиц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Должностные лица контрольно-счетных органов при осуществлении возложенных на них должностных полномочий имеют право:</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6014D7" w:rsidRPr="00237660" w:rsidRDefault="006014D7" w:rsidP="006014D7">
      <w:pPr>
        <w:jc w:val="both"/>
        <w:rPr>
          <w:rFonts w:ascii="Times New Roman" w:hAnsi="Times New Roman" w:cs="Times New Roman"/>
          <w:sz w:val="28"/>
          <w:szCs w:val="28"/>
        </w:rPr>
      </w:pPr>
      <w:proofErr w:type="gramStart"/>
      <w:r w:rsidRPr="00237660">
        <w:rPr>
          <w:rFonts w:ascii="Times New Roman" w:hAnsi="Times New Roman" w:cs="Times New Roman"/>
          <w:sz w:val="28"/>
          <w:szCs w:val="28"/>
        </w:rPr>
        <w:lastRenderedPageBreak/>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8) знакомиться с технической документацией к электронным базам данных;</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9) составлять протоколы об административных правонарушениях, если такое право предусмотрено законодательством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пунктом 2 части 1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6. </w:t>
      </w:r>
      <w:proofErr w:type="gramStart"/>
      <w:r w:rsidRPr="00237660">
        <w:rPr>
          <w:rFonts w:ascii="Times New Roman" w:hAnsi="Times New Roman" w:cs="Times New Roman"/>
          <w:sz w:val="28"/>
          <w:szCs w:val="28"/>
        </w:rPr>
        <w:t>Председатель, заместитель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w:t>
      </w:r>
      <w:proofErr w:type="gramEnd"/>
      <w:r w:rsidRPr="00237660">
        <w:rPr>
          <w:rFonts w:ascii="Times New Roman" w:hAnsi="Times New Roman" w:cs="Times New Roman"/>
          <w:sz w:val="28"/>
          <w:szCs w:val="28"/>
        </w:rPr>
        <w:t xml:space="preserve"> высшего исполнительного органа государственной власти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15. Представление информации по запросам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 xml:space="preserve">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их должностные лица, а также </w:t>
      </w:r>
      <w:r w:rsidRPr="00237660">
        <w:rPr>
          <w:rFonts w:ascii="Times New Roman" w:hAnsi="Times New Roman" w:cs="Times New Roman"/>
          <w:sz w:val="28"/>
          <w:szCs w:val="28"/>
        </w:rPr>
        <w:lastRenderedPageBreak/>
        <w:t>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w:t>
      </w:r>
      <w:proofErr w:type="gramEnd"/>
      <w:r w:rsidRPr="00237660">
        <w:rPr>
          <w:rFonts w:ascii="Times New Roman" w:hAnsi="Times New Roman" w:cs="Times New Roman"/>
          <w:sz w:val="28"/>
          <w:szCs w:val="28"/>
        </w:rPr>
        <w:t xml:space="preserve"> органы по их запросам информацию, документы и материалы, необходимые для проведения контрольных и экспертно-аналитических мероприятий.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Порядок направления контрольно-счетными органами запросов, указанных в части 1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4. </w:t>
      </w:r>
      <w:proofErr w:type="gramStart"/>
      <w:r w:rsidRPr="00237660">
        <w:rPr>
          <w:rFonts w:ascii="Times New Roman" w:hAnsi="Times New Roman" w:cs="Times New Roman"/>
          <w:sz w:val="28"/>
          <w:szCs w:val="28"/>
        </w:rPr>
        <w:t>Непредставление или несвоевременное представление органами и организациями, указанными в части 1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w:t>
      </w:r>
      <w:proofErr w:type="gramEnd"/>
      <w:r w:rsidRPr="00237660">
        <w:rPr>
          <w:rFonts w:ascii="Times New Roman" w:hAnsi="Times New Roman" w:cs="Times New Roman"/>
          <w:sz w:val="28"/>
          <w:szCs w:val="28"/>
        </w:rPr>
        <w:t xml:space="preserve">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16. Представления и предписания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w:t>
      </w:r>
      <w:proofErr w:type="gramEnd"/>
      <w:r w:rsidRPr="00237660">
        <w:rPr>
          <w:rFonts w:ascii="Times New Roman" w:hAnsi="Times New Roman" w:cs="Times New Roman"/>
          <w:sz w:val="28"/>
          <w:szCs w:val="28"/>
        </w:rPr>
        <w:t xml:space="preserve">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w:t>
      </w:r>
      <w:r w:rsidRPr="00237660">
        <w:rPr>
          <w:rFonts w:ascii="Times New Roman" w:hAnsi="Times New Roman" w:cs="Times New Roman"/>
          <w:sz w:val="28"/>
          <w:szCs w:val="28"/>
        </w:rPr>
        <w:lastRenderedPageBreak/>
        <w:t>право подписывать представление контрольно-счетного органа может быть предоставлено также аудиторам.</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3. </w:t>
      </w:r>
      <w:proofErr w:type="gramStart"/>
      <w:r w:rsidRPr="00237660">
        <w:rPr>
          <w:rFonts w:ascii="Times New Roman" w:hAnsi="Times New Roman" w:cs="Times New Roman"/>
          <w:sz w:val="28"/>
          <w:szCs w:val="28"/>
        </w:rPr>
        <w:t>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 контрольно-счетный орган о принятых по результатам рассмотрения представления решениях и мерах.</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4. </w:t>
      </w:r>
      <w:proofErr w:type="gramStart"/>
      <w:r w:rsidRPr="00237660">
        <w:rPr>
          <w:rFonts w:ascii="Times New Roman" w:hAnsi="Times New Roman" w:cs="Times New Roman"/>
          <w:sz w:val="28"/>
          <w:szCs w:val="28"/>
        </w:rPr>
        <w:t>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roofErr w:type="gramEnd"/>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6. Предписание контрольно-счетного органа должно быть исполнено в установленные в нем сроки.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Неисполнение или ненадлежащее исполнение предписания контрольно-счетного органа влечет за собой ответственность, установленную законодательством Российской Федерации и (или) законодательством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8. В случае</w:t>
      </w:r>
      <w:proofErr w:type="gramStart"/>
      <w:r w:rsidRPr="00237660">
        <w:rPr>
          <w:rFonts w:ascii="Times New Roman" w:hAnsi="Times New Roman" w:cs="Times New Roman"/>
          <w:sz w:val="28"/>
          <w:szCs w:val="28"/>
        </w:rPr>
        <w:t>,</w:t>
      </w:r>
      <w:proofErr w:type="gramEnd"/>
      <w:r w:rsidRPr="00237660">
        <w:rPr>
          <w:rFonts w:ascii="Times New Roman" w:hAnsi="Times New Roman" w:cs="Times New Roman"/>
          <w:sz w:val="28"/>
          <w:szCs w:val="28"/>
        </w:rPr>
        <w:t xml:space="preserve">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17. Гарантии прав проверяемых органов и организаций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прилагаются к актам и в дальнейшем являются их неотъемлемой частью.</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6014D7" w:rsidRPr="00237660" w:rsidRDefault="006014D7" w:rsidP="006014D7">
      <w:pPr>
        <w:jc w:val="both"/>
        <w:rPr>
          <w:rFonts w:ascii="Times New Roman" w:hAnsi="Times New Roman" w:cs="Times New Roman"/>
          <w:sz w:val="28"/>
          <w:szCs w:val="28"/>
        </w:rPr>
      </w:pP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18. Взаимодействие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w:t>
      </w:r>
      <w:proofErr w:type="gramEnd"/>
      <w:r w:rsidRPr="00237660">
        <w:rPr>
          <w:rFonts w:ascii="Times New Roman" w:hAnsi="Times New Roman" w:cs="Times New Roman"/>
          <w:sz w:val="28"/>
          <w:szCs w:val="28"/>
        </w:rPr>
        <w:t>. Контрольно-счетные органы вправе заключать с ними соглашения о сотрудничестве и взаимодействии.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4. В целях координации своей деятельности контрольно-счетные органы и иные государственные и муниципальные органы могут создавать как </w:t>
      </w:r>
      <w:r w:rsidRPr="00237660">
        <w:rPr>
          <w:rFonts w:ascii="Times New Roman" w:hAnsi="Times New Roman" w:cs="Times New Roman"/>
          <w:sz w:val="28"/>
          <w:szCs w:val="28"/>
        </w:rPr>
        <w:lastRenderedPageBreak/>
        <w:t>временные, так и постоянно действующие совместные координационные, консультационные, совещательные и другие рабочие органы.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6. Контрольно-счетный орган субъекта Российской Федерации вправе: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оказывать контрольно-счетным органам муниципальных образований организационную, правовую, информационную, методическую и иную помощь;</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содействовать профессиональной подготовке, переподготовке и повышению квалификации работников контрольно-счетных органов муниципальных образований;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7. Счетная палата Российской Федерации вправе: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организовывать взаимодействие с контрольно-счетными органами субъектов Российской Федерации и контрольно-счетными органами муниципальных образований, в том числе при проведении Счетной палатой Российской Федерации на территориях соответствующих субъектов Российской Федерации и муниципальных образований совместных контрольных и экспертно-аналитических мероприятий;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2) оказывать контрольно-счетным органам организационную, правовую, информационную, методическую и иную помощь;</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содействовать в профессиональной подготовке, переподготовке и повышении квалификации работников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4) осуществлять совместно с контрольно-счетными органами субъектов Российской Федерации и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5) по обращению контрольно-счетных органов субъектов Российской Федерации или законодательных (представительных) органов государственной власти субъектов Российской Федерации осуществлять анализ деятельности контрольно-счетных органов субъектов Российской Федерации и давать рекомендации по повышению эффективности их работы.</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19. Обеспечение доступа к информации о деятельности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1. </w:t>
      </w:r>
      <w:proofErr w:type="gramStart"/>
      <w:r w:rsidRPr="00237660">
        <w:rPr>
          <w:rFonts w:ascii="Times New Roman" w:hAnsi="Times New Roman" w:cs="Times New Roman"/>
          <w:sz w:val="28"/>
          <w:szCs w:val="28"/>
        </w:rPr>
        <w:t>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w:t>
      </w:r>
      <w:proofErr w:type="gramEnd"/>
      <w:r w:rsidRPr="00237660">
        <w:rPr>
          <w:rFonts w:ascii="Times New Roman" w:hAnsi="Times New Roman" w:cs="Times New Roman"/>
          <w:sz w:val="28"/>
          <w:szCs w:val="28"/>
        </w:rPr>
        <w:t xml:space="preserve"> </w:t>
      </w:r>
      <w:proofErr w:type="gramStart"/>
      <w:r w:rsidRPr="00237660">
        <w:rPr>
          <w:rFonts w:ascii="Times New Roman" w:hAnsi="Times New Roman" w:cs="Times New Roman"/>
          <w:sz w:val="28"/>
          <w:szCs w:val="28"/>
        </w:rPr>
        <w:t>мерах</w:t>
      </w:r>
      <w:proofErr w:type="gramEnd"/>
      <w:r w:rsidRPr="00237660">
        <w:rPr>
          <w:rFonts w:ascii="Times New Roman" w:hAnsi="Times New Roman" w:cs="Times New Roman"/>
          <w:sz w:val="28"/>
          <w:szCs w:val="28"/>
        </w:rPr>
        <w:t>.</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lastRenderedPageBreak/>
        <w:t>Статья 20. Финансовое обеспечение деятельности контрольно-счетных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 xml:space="preserve">2. </w:t>
      </w:r>
      <w:proofErr w:type="gramStart"/>
      <w:r w:rsidRPr="00237660">
        <w:rPr>
          <w:rFonts w:ascii="Times New Roman" w:hAnsi="Times New Roman" w:cs="Times New Roman"/>
          <w:sz w:val="28"/>
          <w:szCs w:val="28"/>
        </w:rPr>
        <w:t>Контроль за</w:t>
      </w:r>
      <w:proofErr w:type="gramEnd"/>
      <w:r w:rsidRPr="00237660">
        <w:rPr>
          <w:rFonts w:ascii="Times New Roman" w:hAnsi="Times New Roman" w:cs="Times New Roman"/>
          <w:sz w:val="28"/>
          <w:szCs w:val="28"/>
        </w:rPr>
        <w:t xml:space="preserve">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6014D7"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Статья 21. Вступление в силу настоящего Федерального закона</w:t>
      </w:r>
    </w:p>
    <w:p w:rsidR="00A1267A" w:rsidRPr="00237660" w:rsidRDefault="006014D7" w:rsidP="006014D7">
      <w:pPr>
        <w:jc w:val="both"/>
        <w:rPr>
          <w:rFonts w:ascii="Times New Roman" w:hAnsi="Times New Roman" w:cs="Times New Roman"/>
          <w:sz w:val="28"/>
          <w:szCs w:val="28"/>
        </w:rPr>
      </w:pPr>
      <w:r w:rsidRPr="00237660">
        <w:rPr>
          <w:rFonts w:ascii="Times New Roman" w:hAnsi="Times New Roman" w:cs="Times New Roman"/>
          <w:sz w:val="28"/>
          <w:szCs w:val="28"/>
        </w:rPr>
        <w:t>Настоящий Федеральный закон вступает в силу с 1 октября 2011 года.</w:t>
      </w:r>
    </w:p>
    <w:sectPr w:rsidR="00A1267A" w:rsidRPr="00237660" w:rsidSect="00A126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014D7"/>
    <w:rsid w:val="00237660"/>
    <w:rsid w:val="006014D7"/>
    <w:rsid w:val="0060483B"/>
    <w:rsid w:val="00A1267A"/>
    <w:rsid w:val="00C26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6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7263</Words>
  <Characters>41400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2011-09-26T12:24:00Z</dcterms:created>
  <dcterms:modified xsi:type="dcterms:W3CDTF">2011-09-30T11:49:00Z</dcterms:modified>
</cp:coreProperties>
</file>